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57" w:rsidRPr="00CC1157" w:rsidRDefault="00CC1157" w:rsidP="00CC1157">
      <w:pPr>
        <w:shd w:val="clear" w:color="auto" w:fill="FFFFFF"/>
        <w:spacing w:before="100" w:beforeAutospacing="1" w:after="600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  <w:r w:rsidRPr="00CC11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Як виконувалися місцеві бюджети у 2020 році - експертний аналіз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 xml:space="preserve">Експерти Програми «U-LEAD з Європою» та SKL </w:t>
      </w:r>
      <w:proofErr w:type="spellStart"/>
      <w:r w:rsidRPr="00CC1157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International</w:t>
      </w:r>
      <w:proofErr w:type="spellEnd"/>
      <w:r w:rsidRPr="00CC1157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 xml:space="preserve"> показали основні цифри та проаналізували стан виконання місцевих бюджетів за 2020 рік.</w:t>
      </w:r>
    </w:p>
    <w:p w:rsidR="00CC1157" w:rsidRPr="00CC1157" w:rsidRDefault="00CC1157" w:rsidP="00CC1157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pict>
          <v:rect id="_x0000_i1025" style="width:0;height:1.5pt" o:hralign="center" o:hrstd="t" o:hr="t" fillcolor="#a0a0a0" stroked="f"/>
        </w:pic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Показники соціально-економічного розвитку України за 2020 рік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6"/>
        <w:gridCol w:w="1245"/>
      </w:tblGrid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 реалізованої промислової продукції,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2 479 337,0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 промислової продукції (2020р. до 2019р.)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94,8%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Оборот роздрібної торгівлі,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1 210 750,3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 фізичного обсягу обороту роздрібної торгівлі (у порівнянних цінах) (2020р. до 2019р.)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108,4%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Обсяги виробленої будівельної продукції,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199 025,4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 будівельної продукції (2020р. до 2019р.)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104,0%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 споживчих цін (до грудня 2019р.)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105,0%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Середньомісячна заробітна плата штатних працівників у 2020 році,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11 591,2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 номінальної заробітної плати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110,4%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Індекс реальної заробітної плати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107,4%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Фонд оплати праці усіх працівників,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1 048 837,6</w:t>
            </w:r>
          </w:p>
        </w:tc>
      </w:tr>
    </w:tbl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Виконання місцевих бюджетів (загальна інформація)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Протягом 2020 року до місцевих бюджетів України надійшло </w:t>
      </w:r>
      <w:r w:rsidRPr="00CC1157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 xml:space="preserve">471,5 </w:t>
      </w:r>
      <w:proofErr w:type="spellStart"/>
      <w:r w:rsidRPr="00CC1157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у тому числі: доходи загального фонду склали 426,0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спеціального – 45,5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(рис. 1).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uk-UA"/>
        </w:rPr>
        <w:t>Рис.1.</w:t>
      </w:r>
      <w:r w:rsidRPr="00CC1157">
        <w:rPr>
          <w:rFonts w:ascii="Times New Roman" w:eastAsia="Times New Roman" w:hAnsi="Times New Roman" w:cs="Times New Roman"/>
          <w:i/>
          <w:iCs/>
          <w:color w:val="000000"/>
          <w:sz w:val="27"/>
          <w:lang w:eastAsia="uk-UA"/>
        </w:rPr>
        <w:t> Доходи місцевих бюджетів України за 2020 рік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За підсумками 2020 року, частка доходів місцевих бюджетів у доходах зведеного бюджету України склала 34,2%. За підсумками 2019 року, аналогічний показник становив 43,5%. Без урахування трансфертів з державного бюджету, обсяг надходжень до місцевих бюджетів склав 311,1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що становить 22,6% від обсягу доходів зведеного бюджету. За підсумками 2019 року, аналогічний показник становив 23,3% (табл. 1).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uk-UA"/>
        </w:rPr>
        <w:t>Таблиця 1. Частка доходів місцевих бюджетів у доходах зведеного бюджету України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3"/>
        <w:gridCol w:w="844"/>
        <w:gridCol w:w="844"/>
        <w:gridCol w:w="1250"/>
      </w:tblGrid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2020 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Частка доходів місцевих бюджетів у доходах зведеного бюджету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-0,7%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Частка доходів місцевих бюджетів у доходах зведеного бюджету </w:t>
            </w:r>
            <w:r w:rsidRPr="00CC11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без урахування трансфертів з державного бюджету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-9,3%</w:t>
            </w:r>
          </w:p>
        </w:tc>
      </w:tr>
    </w:tbl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порівнянні з 2019 роком, частка місцевих бюджетів у доходах зведеного бюджету України суттєво знизилася (на 9,3%), що свідчить про зростання концентрації фінансових ресурсів на центральному рівні.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порівнянні із затвердженим планом на 2020 рік, місцеві бюджети виконано на 98,2%, у тому числі: виконання доходів загального фонду склало 98,6%, виконання спеціального фонду – 97,3%. (табл. 2).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uk-UA"/>
        </w:rPr>
        <w:t>Таблиця 2. Доходи місцевих бюджетів України за 2020 рік (</w:t>
      </w:r>
      <w:proofErr w:type="spellStart"/>
      <w:r w:rsidRPr="00CC1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uk-UA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3"/>
        <w:gridCol w:w="630"/>
        <w:gridCol w:w="630"/>
        <w:gridCol w:w="1235"/>
        <w:gridCol w:w="574"/>
        <w:gridCol w:w="574"/>
        <w:gridCol w:w="1235"/>
        <w:gridCol w:w="630"/>
        <w:gridCol w:w="630"/>
        <w:gridCol w:w="1250"/>
      </w:tblGrid>
      <w:tr w:rsidR="00CC1157" w:rsidRPr="00CC1157" w:rsidTr="00CC115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Власні доходи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98,6%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Трансферти з державного бюджету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97,3%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430,3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99,0%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91,0%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480,3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98,2%</w:t>
            </w:r>
          </w:p>
        </w:tc>
      </w:tr>
    </w:tbl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порівнянні з 2019 роком, загальні доходи місцевих бюджетів зменшилися на 89,0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(з 560,5 до 471,5) або на 15,9% (табл. 3). Зменшення відбулося за рахунок трансфертів з державного бюджету. У 2020 році до загального фонду місцевих бюджетів надійшло 135,9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трансфертів, що на 108,4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(на 44,4%) менше 2019 року. Зокрема, це пов’язано з тим, що у 2020 році з місцевих бюджетів не здійснювалися окремі видатки, пов’язані з реалізацією державних програм соціального захисту, обсяг яких у 2019 році склав 78,3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у тому числі:</w:t>
      </w:r>
    </w:p>
    <w:p w:rsidR="00CC1157" w:rsidRPr="00CC1157" w:rsidRDefault="00CC1157" w:rsidP="00CC11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субвенція на виплату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допомог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сім’ям з дітьми та малозабезпеченим сім’ям – 54,9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CC1157" w:rsidRPr="00CC1157" w:rsidRDefault="00CC1157" w:rsidP="00CC11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 надання пільг та субсидій населенню на оплату житлово-комунальних послуг та енергоносіїв – 21,6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CC1157" w:rsidRPr="00CC1157" w:rsidRDefault="00CC1157" w:rsidP="00CC11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 надання пільг та житлових субсидій населенню на придбання твердого та рідкого пічного побутового палива і скрапленого газу – 1,8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грн.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uk-UA"/>
        </w:rPr>
        <w:t>Таблиця 3. Порівняльні дані про надходження до місцевих бюджетів за 2019 та 2020 роки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"/>
        <w:gridCol w:w="2786"/>
        <w:gridCol w:w="719"/>
        <w:gridCol w:w="719"/>
        <w:gridCol w:w="872"/>
        <w:gridCol w:w="719"/>
        <w:gridCol w:w="719"/>
        <w:gridCol w:w="872"/>
        <w:gridCol w:w="719"/>
        <w:gridCol w:w="719"/>
        <w:gridCol w:w="887"/>
      </w:tblGrid>
      <w:tr w:rsidR="00CC1157" w:rsidRPr="00CC1157" w:rsidTr="00CC115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 р.,</w:t>
            </w:r>
          </w:p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млрд</w:t>
            </w:r>
            <w:proofErr w:type="spellEnd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2020 р.</w:t>
            </w: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млрд</w:t>
            </w:r>
            <w:proofErr w:type="spellEnd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 р.,</w:t>
            </w:r>
          </w:p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млрд</w:t>
            </w:r>
            <w:proofErr w:type="spellEnd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2020 р.</w:t>
            </w: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млрд</w:t>
            </w:r>
            <w:proofErr w:type="spellEnd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 р.,</w:t>
            </w:r>
          </w:p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млрд</w:t>
            </w:r>
            <w:proofErr w:type="spellEnd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2020 р.</w:t>
            </w: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млрд</w:t>
            </w:r>
            <w:proofErr w:type="spellEnd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Власні доходи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+5,4%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-15,2%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+3,7%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Трансферти з державного бюджету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-44,4%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+52,8%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-38,5%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519,5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-18,0%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+11,0%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560,5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-15,9%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Частка трансфертів у доходах (р.2/р.3)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CC1157" w:rsidRPr="00CC1157" w:rsidRDefault="00CC1157" w:rsidP="00CC1157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Крім цього, у 2020 році:</w:t>
      </w:r>
    </w:p>
    <w:p w:rsidR="00CC1157" w:rsidRPr="00CC1157" w:rsidRDefault="00CC1157" w:rsidP="00CC11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обсяг додаткової дотації на здійснення переданих з державного бюджету видатків з утримання закладів освіти та охорони здоров’я склав 7,9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на 7,0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менше від обсягу 2019 року (14,9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);</w:t>
      </w:r>
    </w:p>
    <w:p w:rsidR="00CC1157" w:rsidRPr="00CC1157" w:rsidRDefault="00CC1157" w:rsidP="00CC11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зв’язку з продовженням медичної реформи і збільшення видатків за програмою державних гарантій медичного обслуговування населення, обсяг медичної субвенції місцевим бюджетам склав лише 14,6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на 41,5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менше від обсягу 2019 року (56,1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);</w:t>
      </w:r>
    </w:p>
    <w:p w:rsidR="00CC1157" w:rsidRPr="00CC1157" w:rsidRDefault="00CC1157" w:rsidP="00CC11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надавалася субвенція на формування інфраструктури ОТГ, тоді як у 2019 році її сума склала 2,1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CC1157" w:rsidRPr="00CC1157" w:rsidRDefault="00CC1157" w:rsidP="00CC11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обсяг субвенції на здійснення заходів щодо соціально-економічного розвитку окремих територій склав 1,7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на 1,3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менше від обсягу 2019 року (3,0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Загалом у 2020 році місцеві бюджети отримували з державного бюджету 53 види субвенцій, у 2019 – 42 види субвенцій. Слід зазначити, що у 2018 році місцеві бюджети отримували 34 види субвенцій, а у 2017 – 27. Таким чином,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прослідковується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тенденція щодо постійного збільшення кількості субвенцій, які надходять з державного бюджету місцевим. Дана тенденція свідчить про суттєву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волатильність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державної трансфертної політики відносно місцевих бюджетів і перешкоджає формуванню якісної і прогнозованої бюджетної політики, неможливості здійснювати середньострокове планування соціально-економічного розвитку територій, зниження ефективності використання коштів. 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Потягом 2017-2020 років частка субвенцій у структурі доходів місцевих бюджетів зменшилася з 49,9% до 29,4% (табл. 4).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uk-UA"/>
        </w:rPr>
        <w:t>Таблиця 4. Дані про обсяги субвенцій, отриманих місцевими бюджетами з державного у 2017-2020 роках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"/>
        <w:gridCol w:w="2430"/>
        <w:gridCol w:w="3045"/>
        <w:gridCol w:w="3583"/>
      </w:tblGrid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Періоди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Обсяг субвенцій,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млрд</w:t>
            </w:r>
            <w:proofErr w:type="spellEnd"/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Загальний обсяг доходів,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млрд</w:t>
            </w:r>
            <w:proofErr w:type="spellEnd"/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Частка субвенцій у загальній сумі доходів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= 1 / 2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 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49,9%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 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48,7%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41,8%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2020 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29,4%</w:t>
            </w:r>
          </w:p>
        </w:tc>
      </w:tr>
    </w:tbl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Доходи загального фонду місцевих бюджетів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 підсумками 2020 року </w:t>
      </w:r>
      <w:r w:rsidRPr="00CC1157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надходження до загального фонду місцевих бюджетів України</w:t>
      </w: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(без урахування міжбюджетних трансфертів) склали 290,1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становить 99,0% від затвердженого річного плану з урахуванням змін (293,2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). У порівнянні з планом без урахування змін (який було визначено при затвердженні місцевих бюджетів – 291,1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), рівень виконання становить 99,6%.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порівнянні з 2019 роком, номінальне зростання надходжень становить 14,9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+5,4%</w:t>
      </w:r>
      <w:bookmarkStart w:id="0" w:name="_ftnref1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fldChar w:fldCharType="begin"/>
      </w: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instrText xml:space="preserve"> HYPERLINK "https://decentralization.gov.ua/news/13249" \l "_ftn1" \o "" </w:instrText>
      </w: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fldChar w:fldCharType="separate"/>
      </w:r>
      <w:r w:rsidRPr="00CC1157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  <w:lang w:eastAsia="uk-UA"/>
        </w:rPr>
        <w:t>[1]</w:t>
      </w: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fldChar w:fldCharType="end"/>
      </w:r>
      <w:bookmarkEnd w:id="0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Слід зазначити, що за підсумками 2019 року приріст доходів відносно 2018 року становив 17,5% (+41,1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 надходження до місцевих бюджетів у 2020 році суттєво вплинули карантинні заходи, запроваджені у зв’язку з пандемією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коронавірусу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(табл. 5). У квітні-травні спостерігалося суттєве зменшення надходжень, після чого у червні-липні позитивна динаміка поступово відновилася і протягом жовтня-грудня середній показник приросту доходів склав 10,7%.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uk-UA"/>
        </w:rPr>
        <w:t>Таблиця 5. Дані про обсяги надходжень до місцевих бюджетів у 2019-2020 роках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969"/>
        <w:gridCol w:w="969"/>
        <w:gridCol w:w="1502"/>
        <w:gridCol w:w="1262"/>
      </w:tblGrid>
      <w:tr w:rsidR="00CC1157" w:rsidRPr="00CC1157" w:rsidTr="00CC115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Періоди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2020 рік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відхилення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сума,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млн</w:t>
            </w:r>
            <w:proofErr w:type="spellEnd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відсотках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18 665,3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21 084,5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2 419,2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113,0%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21 898,0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25 079,1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3 181,1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114,5%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19 909,0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21 494,2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1 585,2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108,0%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квітень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23 654,3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19 308,3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- 4 346,1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81,6%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23 894,7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22 775,5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- 1 119,1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95,3%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20 856,4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21 854,5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104,8%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23 812,4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24 246,0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101,8%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25 328,0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27 679,4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2 351,4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109,3%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21 667,3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23 084,1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106,5%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24 765,5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27 157,4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2 391,9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109,7%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26 075,8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28 454,0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2 378,2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109,1%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24 643,5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27 897,8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3 254,3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113,2%</w:t>
            </w:r>
          </w:p>
        </w:tc>
      </w:tr>
    </w:tbl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 і раніше, найбільшу питому вагу у доходах місцевих бюджетів займають надходження від сплати </w:t>
      </w:r>
      <w:r w:rsidRPr="00CC1157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податку на доходи фізичних осіб </w:t>
      </w: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– 177,8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61,3% від суми доходів загального фонду місцевих бюджетів. У порівнянні з 2019 роком надходження податку зросли на 12,3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або на 7,4%.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Іншим вагомим джерелом доходів місцевих бюджетів є </w:t>
      </w:r>
      <w:r w:rsidRPr="00CC1157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плата за землю</w:t>
      </w: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відноситься до податку на майно і є складовою місцевих податків. У 2020 році місцевими бюджетами було отримано плати за землю (земельного податку та орендної плати) 31,5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на 4,2% (на 1,4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 менше від надходжень, отриманих за підсумками 2019 рік (у 2019 році відносно 2018 надходження зросли на 20,2%). У структурі доходів загального фонду місцевих бюджетів плата за землю займає 10,8% (рис. 2).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pict>
          <v:shape id="_x0000_i1027" type="#_x0000_t75" alt="" style="width:24pt;height:24pt"/>
        </w:pic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uk-UA"/>
        </w:rPr>
        <w:t>Рис.2.</w:t>
      </w:r>
      <w:r w:rsidRPr="00CC1157">
        <w:rPr>
          <w:rFonts w:ascii="Times New Roman" w:eastAsia="Times New Roman" w:hAnsi="Times New Roman" w:cs="Times New Roman"/>
          <w:i/>
          <w:iCs/>
          <w:color w:val="000000"/>
          <w:sz w:val="27"/>
          <w:lang w:eastAsia="uk-UA"/>
        </w:rPr>
        <w:t> Структура доходів місцевих бюджетів України за 2020 рік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Значна частка у структурі місцевих бюджетів належить надходженням </w:t>
      </w:r>
      <w:r w:rsidRPr="00CC1157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єдиного податку</w:t>
      </w: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Його сума склала 38,0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на 7,8% (на 2,8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 перевищує надходження минулого року і становить 13,1% від усієї суми доходів загального фонду місцевих бюджетів. Слід зазначити, що фізичними особами-підприємцями перераховано до місцевих бюджетів 27,6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єдиного податку (або 72,6% від його загального обсягу), юридичними особами перераховано 5,1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(або 13,4%). Сума єдиного податку, сплаченого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сільгосптоваровиробниками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склала 5,3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(14,0% від його загального обсягу).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Надходження </w:t>
      </w:r>
      <w:r w:rsidRPr="00CC1157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акцизного податку</w:t>
      </w: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до місцевих бюджетів за підсумками 2020 року склали 15,6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акцизного податку (+1,8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або +13,4%), у тому числі:</w:t>
      </w:r>
    </w:p>
    <w:p w:rsidR="00CC1157" w:rsidRPr="00CC1157" w:rsidRDefault="00CC1157" w:rsidP="00CC11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8,4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– у вигляді відрахувань з державного бюджету частини акцизного податку з виробленого в Україні та ввезеного на митну територію України пального (+1,0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або +13,4%);</w:t>
      </w:r>
    </w:p>
    <w:p w:rsidR="00CC1157" w:rsidRPr="00CC1157" w:rsidRDefault="00CC1157" w:rsidP="00CC115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7,2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– з реалізації суб’єктами господарювання роздрібної торгівлі алкогольних напоїв та тютюнових виробів (+0,8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або +13,4%).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Серед регіонів України найбільша частка доходів загального фонду сконцентрована в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м.Києві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(16,1% від загального обсягу) та у Дніпропетровській (10,4%) і Харківській (7,2%) областях (табл. 6). 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uk-UA"/>
        </w:rPr>
        <w:t>Таблиця 6.Частка надходжень до загального фонду місцевих бюджетів 2020 роках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3"/>
        <w:gridCol w:w="3148"/>
        <w:gridCol w:w="2647"/>
        <w:gridCol w:w="963"/>
        <w:gridCol w:w="420"/>
      </w:tblGrid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 Надходження за 2020 рік, млн.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Частка регіону у загальному обсязі надходжень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9 977,4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Волинська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5 318,3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30 242,8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13 578,5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7 457,5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5 352,0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13 186,2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6 422,5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17 143,0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Кіровоградська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6 392,0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Луганська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3 816,9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17 045,0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7 525,5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17 812,1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12 165,2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5 869,7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7 008,3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4 957,8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20 827,5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Херсонська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5 552,0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7 520,0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7 853,9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3 632,8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Чернігівська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6 704,3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місто 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46 753,6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290 114,8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Доходи загального фонду бюджетів об’єднаних територіальних громад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2020 році на прямих міжбюджетних відносинах з державним бюджетом перебували </w:t>
      </w:r>
      <w:r w:rsidRPr="00CC11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872 об’єднані територіальні громади</w:t>
      </w: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(з урахуванням 41 міста обласного значення, в яких відбулося приєднання). За 2020 рік доходи загального фонду бюджетів ОТГ (без урахування трансфертів з державного бюджету) склали 54,0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що становить 18,6% від загального обсягу доходів усіх місцевих бюджетів України (рис. 3).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pict>
          <v:shape id="_x0000_i1028" type="#_x0000_t75" alt="" style="width:24pt;height:24pt"/>
        </w:pic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uk-UA"/>
        </w:rPr>
        <w:t>Рис. 3. </w:t>
      </w:r>
      <w:r w:rsidRPr="00CC1157">
        <w:rPr>
          <w:rFonts w:ascii="Times New Roman" w:eastAsia="Times New Roman" w:hAnsi="Times New Roman" w:cs="Times New Roman"/>
          <w:i/>
          <w:iCs/>
          <w:color w:val="000000"/>
          <w:sz w:val="27"/>
          <w:lang w:eastAsia="uk-UA"/>
        </w:rPr>
        <w:t>Структура доходів загального фонду (без трансфертів) за рівнями місцевих бюджетів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загальній структурі доходів загального фонду ОТГ питома вага податку на доходи фізичних осіб становить 60,5% (рис. 2), у 2019 році аналогічний показник становив 58,1%. Надходження ПДФО склали 32,7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грн. Плати за землю надійшло 6,8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(12,6% від загальної суми), єдиного податку – 7,8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(14,4%), акцизного податку – 3,6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(6,6%), у тому числі акцизного податку з палива надійшло 2,3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(4,2%), податку на нерухоме майно, відмінного від земельної ділянки – 1,2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(2,1%).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Зважаючи на прийняті у 2020 році законодавчі акти, у 2021 році уже відсутня така категорія місцевих бюджетів, як об’єднані територіальні громади. Відповідно до Бюджетного кодексу, бюджети базового рівня репрезентують бюджети місцевого самоврядування, які включають у себе бюджети сільських, селищних, міських територіальних громад.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Видатки місцевих бюджетів (загальний та спеціальний фонд з урахуванням міжбюджетних трансфертів)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Загальний обсяг видатків місцевих бюджетів у 2020 році склав 478,1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на 88,2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(-15,5%) менше від обсягу видатків, проведених у 2019 році. Із зазначеної суми видатки загального фонду у 2020 році склали 357,7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на 84,9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(-19,2%) менше 2019 року.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структурі місцевих бюджетів найбільша частка припадає на оплату праці – 206,7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або 43,2%. Капітальних видатків проведено на суму 98,6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що становить 20,6% від усіх видатків (рис. 4).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pict>
          <v:shape id="_x0000_i1029" type="#_x0000_t75" alt="" style="width:24pt;height:24pt"/>
        </w:pic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uk-UA"/>
        </w:rPr>
        <w:lastRenderedPageBreak/>
        <w:t>Рис. 4. </w:t>
      </w:r>
      <w:r w:rsidRPr="00CC1157">
        <w:rPr>
          <w:rFonts w:ascii="Times New Roman" w:eastAsia="Times New Roman" w:hAnsi="Times New Roman" w:cs="Times New Roman"/>
          <w:i/>
          <w:iCs/>
          <w:color w:val="000000"/>
          <w:sz w:val="27"/>
          <w:lang w:eastAsia="uk-UA"/>
        </w:rPr>
        <w:t>Структура видатків місцевих бюджетів (загальний та спеціальний фонди)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порівнянні з 2019 роком видатки на оплату праці зросли на 15,3%, водночас на енергоносії витрачено майже на 20% менше, незначне зниження зафіксовано по капітальних видатках – 98,8% від обсягів 2019 року (табл. 7).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uk-UA"/>
        </w:rPr>
        <w:t>Таблиця 7. Видатки місцевих бюджетів за 2019-2020 роки за економічною класифікацією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1335"/>
        <w:gridCol w:w="1335"/>
        <w:gridCol w:w="1455"/>
        <w:gridCol w:w="1455"/>
        <w:gridCol w:w="846"/>
        <w:gridCol w:w="830"/>
        <w:gridCol w:w="1228"/>
      </w:tblGrid>
      <w:tr w:rsidR="00CC1157" w:rsidRPr="00CC1157" w:rsidTr="00CC115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Видатки за економічною класифікацією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Загальний фонд,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млрд</w:t>
            </w:r>
            <w:proofErr w:type="spellEnd"/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Спеціальний фонд,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млрд</w:t>
            </w:r>
            <w:proofErr w:type="spellEnd"/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Разом,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млрд</w:t>
            </w:r>
            <w:proofErr w:type="spellEnd"/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Відхилення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 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 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 рік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праці з нарахуваннями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115,3%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комунальних послуг та енергоносіїв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80,2%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Субсидії та поточні трансферти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105,4%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Соціальне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11,6%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поточні видатки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65,4%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Капітальні видатки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98,8%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357,7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566,3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84,4%</w:t>
            </w:r>
          </w:p>
        </w:tc>
      </w:tr>
    </w:tbl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розрізі функціональної класифікації видатків, найбільший обсяг коштів протягом 2020 року було спрямовано на фінансування освіти – 199,4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(табл. 8), що становить 41,7% від загальної суми видатків, проведених з місцевих бюджетів. У порівнянні з 2019 роком, видатки на освіту збільшилися на 12,3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на 6,6%. На охорону здоров’я було витрачено 50,9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становить 10,6% від обсягу видатків місцевих бюджетів. Порівняно 2019 роком видатки на охорону здоров’я зменшилися на 38,9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на 43,3%. Зменшення видатків на охорону здоров’я пов’язане із продовженням реформи медицини і запровадженням фінансування вторинного рівня за рахунок коштів державного бюджету через Національну службу здоров’я. У 2020 році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Нацслужбою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 програмою державних гарантій медичного обслуговування населення проведено видатків на загальну суму 89,5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грн.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За даними Рахункової палати України, протягом 2020 року з місцевих бюджетів було витрачено </w:t>
      </w:r>
      <w:hyperlink r:id="rId5" w:anchor="3" w:tgtFrame="_blank" w:history="1">
        <w:r w:rsidRPr="00CC115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 xml:space="preserve">10,3 </w:t>
        </w:r>
        <w:proofErr w:type="spellStart"/>
        <w:r w:rsidRPr="00CC115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млрд</w:t>
        </w:r>
        <w:proofErr w:type="spellEnd"/>
        <w:r w:rsidRPr="00CC115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 xml:space="preserve"> </w:t>
        </w:r>
        <w:proofErr w:type="spellStart"/>
        <w:r w:rsidRPr="00CC115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uk-UA"/>
          </w:rPr>
          <w:t>грн</w:t>
        </w:r>
        <w:proofErr w:type="spellEnd"/>
      </w:hyperlink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на заходи, пов’язані з боротьбою з COVID-19, що становить 2,2% від загального обсягу видатків місцевих бюджетів.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Видатки на духовний та фізичний розвиток склали 21,9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у структурі видатків становить 4,6% і є на 0,3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на 1,4% більше видатків, проведених у 2019 році. На видатки, пов’язані з економічною діяльністю, спрямовано 93,9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на 14,7% більше видатків, проведених за 2019 рік. Видатки на житлово-комунальне господарство зменшилися на 6,7% і склали 32,1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грн. Видатки на загальнодержавні функції, які включають видатки на утримання органів місцевого самоврядування, склали 41,0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на 6,1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на 17,5% більше видатків за 2019 рік.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uk-UA"/>
        </w:rPr>
        <w:t>Таблиця 8. Видатки місцевих бюджетів за 2019-2020 роки за функціональною класифікацією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3"/>
        <w:gridCol w:w="934"/>
        <w:gridCol w:w="919"/>
        <w:gridCol w:w="1058"/>
        <w:gridCol w:w="1058"/>
        <w:gridCol w:w="712"/>
        <w:gridCol w:w="727"/>
      </w:tblGrid>
      <w:tr w:rsidR="00CC1157" w:rsidRPr="00CC1157" w:rsidTr="00CC115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Видатки за функціональною класифікацією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 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 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 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 рік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Загальнодержавні функції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41,0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 порядок, безпека та судова влада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1,8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Економічна діяльність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93,9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Охорона навколишнього природного середовища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Житлово-комунальне господарство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32,1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Охорона здоров'я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50,9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Духовний та фізичний розвиток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21,9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199,4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захист та соціальне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24,0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434,5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347,4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557,6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467,4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Міжбюджетні трансферти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10,7</w:t>
            </w:r>
          </w:p>
        </w:tc>
      </w:tr>
      <w:tr w:rsidR="00CC1157" w:rsidRPr="00CC1157" w:rsidTr="00CC11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357,7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566,3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1157" w:rsidRPr="00CC1157" w:rsidRDefault="00CC1157" w:rsidP="00CC1157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478,1</w:t>
            </w:r>
          </w:p>
        </w:tc>
      </w:tr>
    </w:tbl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Із загального фонду бюджетів ОТГ проведено видатків на суму 72,6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у тому числі: на зарплату з нарахуваннями спрямовано 50,9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(70,1% від всієї суми видатків), на оплату комунальних послуг та енергоносіїв – 3,1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(4,2%).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Обсяг капітальних видатків, проведених з бюджетів ОТГ, склав 12,9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грн.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Міжбюджетні трансферти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Протягом 2020 року місцевими бюджетами отримано з державного бюджету трансфертів на загальну суму 160,2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зокрема:</w:t>
      </w:r>
    </w:p>
    <w:p w:rsidR="00CC1157" w:rsidRPr="00CC1157" w:rsidRDefault="00CC1157" w:rsidP="00CC115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базова дотація – 13,3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(що становить 8,3% від обсягу усіх отриманих місцевими бюджетами трансфертів);</w:t>
      </w:r>
    </w:p>
    <w:p w:rsidR="00CC1157" w:rsidRPr="00CC1157" w:rsidRDefault="00CC1157" w:rsidP="00CC115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додаткова дотація на утримання закладів освіти та медицини – 7,9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(4,9%);</w:t>
      </w:r>
    </w:p>
    <w:p w:rsidR="00CC1157" w:rsidRPr="00CC1157" w:rsidRDefault="00CC1157" w:rsidP="00CC115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освітня субвенція – 81,2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(50,7%);</w:t>
      </w:r>
    </w:p>
    <w:p w:rsidR="00CC1157" w:rsidRPr="00CC1157" w:rsidRDefault="00CC1157" w:rsidP="00CC115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медична субвенція – 14,6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(9,1%);</w:t>
      </w:r>
    </w:p>
    <w:p w:rsidR="00CC1157" w:rsidRPr="00CC1157" w:rsidRDefault="00CC1157" w:rsidP="00CC115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субвенція на підтримку окремих закладів охорони здоров’я – 3,5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(2,2%);</w:t>
      </w:r>
    </w:p>
    <w:p w:rsidR="00CC1157" w:rsidRPr="00CC1157" w:rsidRDefault="00CC1157" w:rsidP="00CC115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субвенція на здійснення заходів щодо соціально-економічного розвитку окремих територій – 1,7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(1,1%);</w:t>
      </w:r>
    </w:p>
    <w:p w:rsidR="00CC1157" w:rsidRPr="00CC1157" w:rsidRDefault="00CC1157" w:rsidP="00CC115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субвенція на утримання доріг – 22,2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(13,8%).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До державного бюджету з місцевих перераховано 8,8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млрд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</w:t>
      </w:r>
      <w:proofErr w:type="spellEnd"/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реверсної дотації.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CC1157" w:rsidRPr="00CC1157" w:rsidRDefault="00CC1157" w:rsidP="00CC115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CC1157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Загалом, виконання місцевих бюджетів за 2020 рік корелюється із загальними тенденціями в економіці України: незначне номінальне зростання доходів, соціально орієнтовані статті видатків, забезпечення виконання основних соціальних зобов’язань держави; продовження секторальних реформ та у сфері адміністративно-територіального устрою та місцевого самоврядування.  </w:t>
      </w:r>
      <w:r w:rsidRPr="00CC115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</w:t>
      </w:r>
    </w:p>
    <w:p w:rsidR="00671F42" w:rsidRDefault="00671F42"/>
    <w:sectPr w:rsidR="00671F42" w:rsidSect="00DE61C4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0E"/>
    <w:multiLevelType w:val="multilevel"/>
    <w:tmpl w:val="1228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25395"/>
    <w:multiLevelType w:val="multilevel"/>
    <w:tmpl w:val="485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B52E7"/>
    <w:multiLevelType w:val="multilevel"/>
    <w:tmpl w:val="5BA4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0201F"/>
    <w:multiLevelType w:val="multilevel"/>
    <w:tmpl w:val="D42C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1157"/>
    <w:rsid w:val="000E4C48"/>
    <w:rsid w:val="00222C3D"/>
    <w:rsid w:val="003605E1"/>
    <w:rsid w:val="00671F42"/>
    <w:rsid w:val="006F68D3"/>
    <w:rsid w:val="00773F3D"/>
    <w:rsid w:val="00836531"/>
    <w:rsid w:val="00904D1F"/>
    <w:rsid w:val="009206EE"/>
    <w:rsid w:val="00974A8B"/>
    <w:rsid w:val="00BD7C92"/>
    <w:rsid w:val="00C00204"/>
    <w:rsid w:val="00CC1157"/>
    <w:rsid w:val="00CE54FB"/>
    <w:rsid w:val="00D502D0"/>
    <w:rsid w:val="00DE61C4"/>
    <w:rsid w:val="00EE61BD"/>
    <w:rsid w:val="00FC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42"/>
  </w:style>
  <w:style w:type="paragraph" w:styleId="2">
    <w:name w:val="heading 2"/>
    <w:basedOn w:val="a"/>
    <w:link w:val="20"/>
    <w:uiPriority w:val="9"/>
    <w:qFormat/>
    <w:rsid w:val="00CC115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link w:val="40"/>
    <w:uiPriority w:val="9"/>
    <w:qFormat/>
    <w:rsid w:val="00CC1157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15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CC11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CC11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C1157"/>
    <w:rPr>
      <w:b/>
      <w:bCs/>
    </w:rPr>
  </w:style>
  <w:style w:type="character" w:styleId="a5">
    <w:name w:val="Emphasis"/>
    <w:basedOn w:val="a0"/>
    <w:uiPriority w:val="20"/>
    <w:qFormat/>
    <w:rsid w:val="00CC1157"/>
    <w:rPr>
      <w:i/>
      <w:iCs/>
    </w:rPr>
  </w:style>
  <w:style w:type="character" w:styleId="a6">
    <w:name w:val="Hyperlink"/>
    <w:basedOn w:val="a0"/>
    <w:uiPriority w:val="99"/>
    <w:semiHidden/>
    <w:unhideWhenUsed/>
    <w:rsid w:val="00CC1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.tableau.com/views/COVID-19UKRAINE/sheet0?:language=en&amp;:display_count=y&amp;publish=yes&amp;:origin=viz_share_link&amp;fbclid=IwAR052v5cAdZcgBqHElO4zmrgRP9Kl-8GvScOpAxC8mKVaKWWG98oJwuDAuI&amp;:showVizHome=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12043</Words>
  <Characters>6866</Characters>
  <Application>Microsoft Office Word</Application>
  <DocSecurity>0</DocSecurity>
  <Lines>57</Lines>
  <Paragraphs>37</Paragraphs>
  <ScaleCrop>false</ScaleCrop>
  <Company/>
  <LinksUpToDate>false</LinksUpToDate>
  <CharactersWithSpaces>18872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2021-03-01T12:22:00Z</dcterms:created>
  <dcterms:modified xsi:type="dcterms:W3CDTF">2021-03-01T12:23:00Z</dcterms:modified>
</cp:coreProperties>
</file>